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35" w:rsidRPr="000E3A35" w:rsidRDefault="000E3A35" w:rsidP="00577A56">
      <w:pPr>
        <w:ind w:left="0"/>
        <w:jc w:val="center"/>
        <w:rPr>
          <w:b/>
          <w:sz w:val="24"/>
          <w:szCs w:val="24"/>
          <w:u w:val="single"/>
        </w:rPr>
      </w:pPr>
      <w:bookmarkStart w:id="0" w:name="_GoBack"/>
      <w:bookmarkEnd w:id="0"/>
      <w:r w:rsidRPr="000E3A35">
        <w:rPr>
          <w:b/>
          <w:sz w:val="24"/>
          <w:szCs w:val="24"/>
          <w:u w:val="single"/>
        </w:rPr>
        <w:t xml:space="preserve">CINA </w:t>
      </w:r>
      <w:r w:rsidR="002E29C1">
        <w:rPr>
          <w:b/>
          <w:sz w:val="24"/>
          <w:szCs w:val="24"/>
          <w:u w:val="single"/>
        </w:rPr>
        <w:t xml:space="preserve">HUBS </w:t>
      </w:r>
      <w:r w:rsidRPr="000E3A35">
        <w:rPr>
          <w:b/>
          <w:sz w:val="24"/>
          <w:szCs w:val="24"/>
          <w:u w:val="single"/>
        </w:rPr>
        <w:t>REPORTS</w:t>
      </w:r>
    </w:p>
    <w:p w:rsidR="00104F09" w:rsidRDefault="00104F09" w:rsidP="00EA2D8E">
      <w:pPr>
        <w:ind w:left="0"/>
      </w:pPr>
    </w:p>
    <w:p w:rsidR="00104F09" w:rsidRDefault="00104F09" w:rsidP="00104F09">
      <w:pPr>
        <w:ind w:left="360"/>
      </w:pPr>
    </w:p>
    <w:p w:rsidR="002E29C1" w:rsidRPr="002E29C1" w:rsidRDefault="002E29C1" w:rsidP="002E29C1">
      <w:pPr>
        <w:ind w:left="0"/>
        <w:rPr>
          <w:b/>
          <w:u w:val="single"/>
        </w:rPr>
      </w:pPr>
      <w:r w:rsidRPr="002E29C1">
        <w:rPr>
          <w:b/>
          <w:u w:val="single"/>
        </w:rPr>
        <w:t xml:space="preserve">Recommended </w:t>
      </w:r>
      <w:r w:rsidR="004B3715">
        <w:rPr>
          <w:b/>
          <w:u w:val="single"/>
        </w:rPr>
        <w:t xml:space="preserve">Reports </w:t>
      </w:r>
      <w:r w:rsidRPr="002E29C1">
        <w:rPr>
          <w:b/>
          <w:u w:val="single"/>
        </w:rPr>
        <w:t>for FAS Basic Planners:</w:t>
      </w:r>
    </w:p>
    <w:p w:rsidR="002E29C1" w:rsidRDefault="002E29C1" w:rsidP="002E29C1">
      <w:pPr>
        <w:ind w:left="0"/>
      </w:pPr>
    </w:p>
    <w:p w:rsidR="003869E0" w:rsidRPr="00894E3B" w:rsidRDefault="00894E3B" w:rsidP="0082169F">
      <w:pPr>
        <w:ind w:left="0"/>
        <w:rPr>
          <w:b/>
        </w:rPr>
      </w:pPr>
      <w:r>
        <w:rPr>
          <w:b/>
        </w:rPr>
        <w:t>FRBC028</w:t>
      </w:r>
      <w:r w:rsidR="003869E0" w:rsidRPr="000E3A35">
        <w:rPr>
          <w:b/>
        </w:rPr>
        <w:t xml:space="preserve"> CINA by Major Fund Category</w:t>
      </w:r>
      <w:r>
        <w:rPr>
          <w:b/>
        </w:rPr>
        <w:t xml:space="preserve"> </w:t>
      </w:r>
      <w:r w:rsidR="003869E0">
        <w:t>report is used to verify and/or review budget or actuals data across fund categories. This report provides a high level view of operating revenue, operating expenses, non-operating activity, and fund balances for all major fund categories. The report user has the ability to drill-down within the Fund or Object dimensions to obtain a detailed view of the data as needed. The POV for this report is very flexible allowing the report user to select Year, Period, Scenario, Version, Tub-Org, Act-Sub, and Root members that are appropriate for displaying the desired data.</w:t>
      </w:r>
    </w:p>
    <w:p w:rsidR="0082169F" w:rsidRDefault="0082169F" w:rsidP="00D2241A">
      <w:pPr>
        <w:ind w:left="0"/>
      </w:pPr>
    </w:p>
    <w:p w:rsidR="0082169F" w:rsidRPr="00894E3B" w:rsidRDefault="0082169F" w:rsidP="0082169F">
      <w:pPr>
        <w:ind w:left="0"/>
        <w:rPr>
          <w:b/>
        </w:rPr>
      </w:pPr>
      <w:r w:rsidRPr="000E3A35">
        <w:rPr>
          <w:b/>
        </w:rPr>
        <w:t xml:space="preserve">FRBC030 </w:t>
      </w:r>
      <w:r w:rsidR="00A049AB" w:rsidRPr="00A049AB">
        <w:rPr>
          <w:b/>
        </w:rPr>
        <w:t>Budget Fund Summary</w:t>
      </w:r>
      <w:r w:rsidR="00894E3B">
        <w:rPr>
          <w:b/>
        </w:rPr>
        <w:t xml:space="preserve"> </w:t>
      </w:r>
      <w:r>
        <w:t xml:space="preserve">report displays the estimated ending fund balances for all funds within a selected Tub-Org for the user-selected budget year. This report calculates the ending fund balances of all funds within a selected Tub-Org in the Plan scenario and Working version. The report also displays the operating revenue, operating expense, non-operating activity and beginning fund balances at the </w:t>
      </w:r>
      <w:proofErr w:type="spellStart"/>
      <w:r>
        <w:t>Tera</w:t>
      </w:r>
      <w:proofErr w:type="spellEnd"/>
      <w:r>
        <w:t xml:space="preserve"> Object level that are used in calculating this ending fund balance.</w:t>
      </w:r>
    </w:p>
    <w:p w:rsidR="0082169F" w:rsidRDefault="0082169F" w:rsidP="0082169F">
      <w:pPr>
        <w:ind w:left="0"/>
      </w:pPr>
    </w:p>
    <w:p w:rsidR="004B3715" w:rsidRDefault="004B3715" w:rsidP="0082169F">
      <w:pPr>
        <w:ind w:left="0"/>
        <w:rPr>
          <w:b/>
        </w:rPr>
      </w:pPr>
      <w:r>
        <w:rPr>
          <w:b/>
        </w:rPr>
        <w:t xml:space="preserve">FRBC039 </w:t>
      </w:r>
      <w:r w:rsidRPr="004B3715">
        <w:rPr>
          <w:b/>
        </w:rPr>
        <w:t>Budget Variance Summary</w:t>
      </w:r>
      <w:r w:rsidR="00894E3B">
        <w:rPr>
          <w:b/>
        </w:rPr>
        <w:t xml:space="preserve"> </w:t>
      </w:r>
      <w:r w:rsidR="00894E3B">
        <w:t>r</w:t>
      </w:r>
      <w:r>
        <w:t>eport compares actual results against a user-selected budget scenario and version.  Variance amounts and percentages are calculated between the YTD actuals for the POV year and both the YTD and total year values for the selected budget scenario-version for that same year.</w:t>
      </w:r>
      <w:r w:rsidR="00577A56">
        <w:t xml:space="preserve">  </w:t>
      </w:r>
      <w:r>
        <w:t>This report is created with the intent to provide a high level of flexibility to the report user as actuals can be compared to any budget scenario-version combination.  It can also be used to compare actuals to budget for two consecutive years, although variances are not calculated for the prior year values.</w:t>
      </w:r>
    </w:p>
    <w:p w:rsidR="00894E3B" w:rsidRPr="00894E3B" w:rsidRDefault="00894E3B" w:rsidP="0082169F">
      <w:pPr>
        <w:ind w:left="0"/>
        <w:rPr>
          <w:b/>
        </w:rPr>
      </w:pPr>
    </w:p>
    <w:p w:rsidR="00D2241A" w:rsidRPr="002E1B46" w:rsidRDefault="00D2241A" w:rsidP="00D2241A">
      <w:pPr>
        <w:ind w:left="0"/>
        <w:rPr>
          <w:b/>
        </w:rPr>
      </w:pPr>
      <w:r>
        <w:rPr>
          <w:b/>
        </w:rPr>
        <w:t xml:space="preserve">FRBC039e </w:t>
      </w:r>
      <w:r w:rsidRPr="004B3715">
        <w:rPr>
          <w:b/>
        </w:rPr>
        <w:t xml:space="preserve">Budget Variance </w:t>
      </w:r>
      <w:r>
        <w:rPr>
          <w:b/>
        </w:rPr>
        <w:t>Detail</w:t>
      </w:r>
      <w:r w:rsidR="00894E3B">
        <w:rPr>
          <w:b/>
        </w:rPr>
        <w:t xml:space="preserve"> </w:t>
      </w:r>
      <w:r w:rsidR="00894E3B">
        <w:t xml:space="preserve">report </w:t>
      </w:r>
      <w:r w:rsidR="002E1B46" w:rsidRPr="002E1B46">
        <w:t>d</w:t>
      </w:r>
      <w:r w:rsidRPr="002E1B46">
        <w:t>isplays</w:t>
      </w:r>
      <w:r w:rsidRPr="00D2241A">
        <w:t xml:space="preserve"> Giga Object code level data for actual and scenario-version selected by the user.  The drill-down capability is enabled.</w:t>
      </w:r>
    </w:p>
    <w:p w:rsidR="0082169F" w:rsidRDefault="0082169F" w:rsidP="0082169F">
      <w:pPr>
        <w:ind w:left="0"/>
      </w:pPr>
    </w:p>
    <w:p w:rsidR="00D2241A" w:rsidRPr="002E1B46" w:rsidRDefault="00D2241A" w:rsidP="00D2241A">
      <w:pPr>
        <w:ind w:left="0"/>
        <w:rPr>
          <w:b/>
        </w:rPr>
      </w:pPr>
      <w:r>
        <w:rPr>
          <w:b/>
        </w:rPr>
        <w:t xml:space="preserve">FRBC039b </w:t>
      </w:r>
      <w:r w:rsidRPr="004B3715">
        <w:rPr>
          <w:b/>
        </w:rPr>
        <w:t xml:space="preserve">Budget Variance </w:t>
      </w:r>
      <w:r>
        <w:rPr>
          <w:b/>
        </w:rPr>
        <w:t xml:space="preserve">by Summary Activity </w:t>
      </w:r>
      <w:proofErr w:type="spellStart"/>
      <w:r>
        <w:rPr>
          <w:b/>
        </w:rPr>
        <w:t>Subactivity</w:t>
      </w:r>
      <w:proofErr w:type="spellEnd"/>
      <w:r w:rsidR="00894E3B">
        <w:rPr>
          <w:b/>
        </w:rPr>
        <w:t xml:space="preserve"> </w:t>
      </w:r>
      <w:r w:rsidR="00894E3B">
        <w:t xml:space="preserve">report </w:t>
      </w:r>
      <w:r w:rsidR="002E1B46" w:rsidRPr="002E1B46">
        <w:t>m</w:t>
      </w:r>
      <w:r w:rsidRPr="002E1B46">
        <w:t>irrors</w:t>
      </w:r>
      <w:r>
        <w:t xml:space="preserve"> the FRBC039e report but with the rows displaying the Activity </w:t>
      </w:r>
      <w:proofErr w:type="spellStart"/>
      <w:r>
        <w:t>Subactivity</w:t>
      </w:r>
      <w:proofErr w:type="spellEnd"/>
      <w:r>
        <w:t xml:space="preserve"> instead of the objects.</w:t>
      </w:r>
    </w:p>
    <w:p w:rsidR="00D2241A" w:rsidRDefault="00D2241A" w:rsidP="0082169F">
      <w:pPr>
        <w:ind w:left="0"/>
      </w:pPr>
    </w:p>
    <w:p w:rsidR="008848EE" w:rsidRPr="00894E3B" w:rsidRDefault="008848EE" w:rsidP="008848EE">
      <w:pPr>
        <w:ind w:left="0"/>
        <w:rPr>
          <w:b/>
        </w:rPr>
      </w:pPr>
      <w:r w:rsidRPr="000E3A35">
        <w:rPr>
          <w:b/>
        </w:rPr>
        <w:t>FR</w:t>
      </w:r>
      <w:r>
        <w:rPr>
          <w:b/>
        </w:rPr>
        <w:t>O</w:t>
      </w:r>
      <w:r w:rsidRPr="000E3A35">
        <w:rPr>
          <w:b/>
        </w:rPr>
        <w:t>C</w:t>
      </w:r>
      <w:r>
        <w:rPr>
          <w:b/>
        </w:rPr>
        <w:t>132</w:t>
      </w:r>
      <w:r w:rsidR="00577A56">
        <w:rPr>
          <w:b/>
        </w:rPr>
        <w:t xml:space="preserve"> </w:t>
      </w:r>
      <w:r w:rsidRPr="000E3A35">
        <w:rPr>
          <w:b/>
        </w:rPr>
        <w:t xml:space="preserve">Budget </w:t>
      </w:r>
      <w:r>
        <w:rPr>
          <w:b/>
        </w:rPr>
        <w:t>Analysis with Fund Balance</w:t>
      </w:r>
      <w:r w:rsidR="00894E3B">
        <w:rPr>
          <w:b/>
        </w:rPr>
        <w:t xml:space="preserve"> </w:t>
      </w:r>
      <w:r>
        <w:t xml:space="preserve">report is used to facilitate the budget and forecast development process. The report includes budget, actuals and target data based on the year selected for a specific fund.  </w:t>
      </w:r>
    </w:p>
    <w:p w:rsidR="008848EE" w:rsidRDefault="008848EE" w:rsidP="008848EE">
      <w:pPr>
        <w:ind w:left="0"/>
      </w:pPr>
    </w:p>
    <w:p w:rsidR="008848EE" w:rsidRDefault="008848EE" w:rsidP="0082169F">
      <w:pPr>
        <w:ind w:left="0"/>
      </w:pPr>
      <w:r w:rsidRPr="002E1B46">
        <w:rPr>
          <w:b/>
        </w:rPr>
        <w:t>Please Note:</w:t>
      </w:r>
      <w:r>
        <w:t xml:space="preserve">  FAS is not using the Target column in HUBS so ignore this column.</w:t>
      </w:r>
    </w:p>
    <w:p w:rsidR="00577A56" w:rsidRDefault="00577A56" w:rsidP="0082169F">
      <w:pPr>
        <w:ind w:left="0"/>
      </w:pPr>
    </w:p>
    <w:p w:rsidR="00577A56" w:rsidRDefault="00577A56" w:rsidP="0082169F">
      <w:pPr>
        <w:ind w:left="0"/>
      </w:pPr>
      <w:r>
        <w:t>The following reports are similar to the FROC132 Budget Analysis with Fund Balance</w:t>
      </w:r>
      <w:r w:rsidR="00894E3B">
        <w:t>,</w:t>
      </w:r>
      <w:r>
        <w:t xml:space="preserve"> but they contain different levels of detail.</w:t>
      </w:r>
    </w:p>
    <w:p w:rsidR="00425006" w:rsidRDefault="00425006" w:rsidP="0082169F">
      <w:pPr>
        <w:ind w:left="0"/>
      </w:pPr>
    </w:p>
    <w:p w:rsidR="00425006" w:rsidRPr="00894E3B" w:rsidRDefault="00577A56" w:rsidP="00894E3B">
      <w:pPr>
        <w:ind w:left="360"/>
        <w:rPr>
          <w:b/>
          <w:i/>
        </w:rPr>
      </w:pPr>
      <w:r>
        <w:rPr>
          <w:b/>
          <w:i/>
        </w:rPr>
        <w:t>FROC027d</w:t>
      </w:r>
      <w:r w:rsidR="00425006" w:rsidRPr="0082169F">
        <w:rPr>
          <w:b/>
          <w:i/>
        </w:rPr>
        <w:t xml:space="preserve"> Budget Analysis by Object and Activity</w:t>
      </w:r>
      <w:r w:rsidR="00894E3B">
        <w:rPr>
          <w:b/>
          <w:i/>
        </w:rPr>
        <w:t xml:space="preserve"> </w:t>
      </w:r>
      <w:r w:rsidR="00894E3B">
        <w:t xml:space="preserve">report </w:t>
      </w:r>
      <w:r w:rsidR="00894E3B" w:rsidRPr="00894E3B">
        <w:t>d</w:t>
      </w:r>
      <w:r w:rsidR="00425006" w:rsidRPr="00894E3B">
        <w:t>isplays</w:t>
      </w:r>
      <w:r w:rsidR="00425006">
        <w:t xml:space="preserve"> all activities and </w:t>
      </w:r>
      <w:proofErr w:type="spellStart"/>
      <w:r w:rsidR="00425006">
        <w:t>subactivities</w:t>
      </w:r>
      <w:proofErr w:type="spellEnd"/>
      <w:r w:rsidR="00425006">
        <w:t xml:space="preserve"> with child-level object code details. This report takes </w:t>
      </w:r>
      <w:proofErr w:type="spellStart"/>
      <w:r w:rsidR="00425006">
        <w:t>awhile</w:t>
      </w:r>
      <w:proofErr w:type="spellEnd"/>
      <w:r w:rsidR="00425006">
        <w:t xml:space="preserve"> to render as it displays a large amount of child-level information. </w:t>
      </w:r>
    </w:p>
    <w:p w:rsidR="00425006" w:rsidRDefault="00425006" w:rsidP="00425006">
      <w:pPr>
        <w:ind w:left="360"/>
      </w:pPr>
    </w:p>
    <w:p w:rsidR="00425006" w:rsidRPr="00894E3B" w:rsidRDefault="00577A56" w:rsidP="00894E3B">
      <w:pPr>
        <w:ind w:left="360"/>
        <w:rPr>
          <w:b/>
          <w:i/>
        </w:rPr>
      </w:pPr>
      <w:r>
        <w:rPr>
          <w:b/>
          <w:i/>
        </w:rPr>
        <w:t>FROC027g</w:t>
      </w:r>
      <w:r w:rsidR="00425006" w:rsidRPr="0082169F">
        <w:rPr>
          <w:b/>
          <w:i/>
        </w:rPr>
        <w:t xml:space="preserve"> Budget Analysis Detail</w:t>
      </w:r>
      <w:r w:rsidR="00894E3B">
        <w:rPr>
          <w:b/>
          <w:i/>
        </w:rPr>
        <w:t xml:space="preserve"> </w:t>
      </w:r>
      <w:r w:rsidR="00894E3B">
        <w:t>report</w:t>
      </w:r>
      <w:r w:rsidR="00894E3B" w:rsidRPr="00894E3B">
        <w:rPr>
          <w:b/>
        </w:rPr>
        <w:t xml:space="preserve"> </w:t>
      </w:r>
      <w:r w:rsidR="00894E3B" w:rsidRPr="00894E3B">
        <w:t>d</w:t>
      </w:r>
      <w:r w:rsidRPr="00894E3B">
        <w:t>isplays</w:t>
      </w:r>
      <w:r>
        <w:t xml:space="preserve"> object code data at the child object code level by default with no drill capabilities enabled.  </w:t>
      </w:r>
    </w:p>
    <w:p w:rsidR="00577A56" w:rsidRDefault="00577A56" w:rsidP="00425006">
      <w:pPr>
        <w:ind w:left="360"/>
      </w:pPr>
    </w:p>
    <w:p w:rsidR="00425006" w:rsidRPr="00894E3B" w:rsidRDefault="00577A56" w:rsidP="00894E3B">
      <w:pPr>
        <w:ind w:left="360"/>
        <w:rPr>
          <w:b/>
          <w:i/>
        </w:rPr>
      </w:pPr>
      <w:r>
        <w:rPr>
          <w:b/>
          <w:i/>
        </w:rPr>
        <w:t>FROC027h</w:t>
      </w:r>
      <w:r w:rsidR="00425006" w:rsidRPr="0082169F">
        <w:rPr>
          <w:b/>
          <w:i/>
        </w:rPr>
        <w:t xml:space="preserve"> Budget Analysis by Summary Activity </w:t>
      </w:r>
      <w:proofErr w:type="spellStart"/>
      <w:r w:rsidR="00425006" w:rsidRPr="0082169F">
        <w:rPr>
          <w:b/>
          <w:i/>
        </w:rPr>
        <w:t>Subactivity</w:t>
      </w:r>
      <w:proofErr w:type="spellEnd"/>
      <w:r w:rsidR="00894E3B">
        <w:rPr>
          <w:b/>
          <w:i/>
        </w:rPr>
        <w:t xml:space="preserve"> </w:t>
      </w:r>
      <w:r w:rsidR="00894E3B">
        <w:t>report</w:t>
      </w:r>
      <w:r w:rsidR="00894E3B">
        <w:rPr>
          <w:b/>
          <w:i/>
        </w:rPr>
        <w:t xml:space="preserve"> </w:t>
      </w:r>
      <w:r w:rsidR="00894E3B">
        <w:t xml:space="preserve">displays all activities and sub-activities with object code data at the </w:t>
      </w:r>
      <w:proofErr w:type="spellStart"/>
      <w:r w:rsidR="00894E3B">
        <w:t>Tera</w:t>
      </w:r>
      <w:proofErr w:type="spellEnd"/>
      <w:r w:rsidR="00894E3B">
        <w:t xml:space="preserve"> object code level by default with no drill capabilities enabled.  </w:t>
      </w:r>
    </w:p>
    <w:p w:rsidR="008848EE" w:rsidRDefault="008848EE" w:rsidP="0082169F">
      <w:pPr>
        <w:ind w:left="0"/>
      </w:pPr>
    </w:p>
    <w:p w:rsidR="002E1B46" w:rsidRPr="00894E3B" w:rsidRDefault="002E1B46" w:rsidP="002E1B46">
      <w:pPr>
        <w:ind w:left="0"/>
        <w:rPr>
          <w:b/>
        </w:rPr>
      </w:pPr>
      <w:r w:rsidRPr="002E1B46">
        <w:rPr>
          <w:b/>
        </w:rPr>
        <w:t>FRBC133 Budget Analysis by Object and Fund</w:t>
      </w:r>
      <w:r w:rsidR="00894E3B">
        <w:rPr>
          <w:b/>
        </w:rPr>
        <w:t xml:space="preserve"> </w:t>
      </w:r>
      <w:r w:rsidR="00894E3B">
        <w:t>report</w:t>
      </w:r>
      <w:r>
        <w:t xml:space="preserve"> is a good report to run at the start of the forecast or budget process.  This report contains Budget and Actuals for the base year – 1, the Budget, Forecast and Actuals for the base year and the Budget for the base year + 1.</w:t>
      </w:r>
    </w:p>
    <w:p w:rsidR="002E1B46" w:rsidRPr="00EA4B41" w:rsidRDefault="002E1B46" w:rsidP="0082169F">
      <w:pPr>
        <w:ind w:left="0"/>
      </w:pPr>
    </w:p>
    <w:sectPr w:rsidR="002E1B46" w:rsidRPr="00EA4B41" w:rsidSect="00894E3B">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D11F6"/>
    <w:multiLevelType w:val="multilevel"/>
    <w:tmpl w:val="8862BD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C62434E"/>
    <w:multiLevelType w:val="hybridMultilevel"/>
    <w:tmpl w:val="8862BD50"/>
    <w:lvl w:ilvl="0" w:tplc="7222DC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FE50B3"/>
    <w:multiLevelType w:val="hybridMultilevel"/>
    <w:tmpl w:val="1BAAA1E6"/>
    <w:lvl w:ilvl="0" w:tplc="85F0D252">
      <w:start w:val="1"/>
      <w:numFmt w:val="decimal"/>
      <w:pStyle w:val="EBPSTableofContentsTitle"/>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38"/>
    <w:rsid w:val="00046A2C"/>
    <w:rsid w:val="00082CA0"/>
    <w:rsid w:val="000A5AC2"/>
    <w:rsid w:val="000B42DF"/>
    <w:rsid w:val="000E2A44"/>
    <w:rsid w:val="000E3A35"/>
    <w:rsid w:val="00104F09"/>
    <w:rsid w:val="00140D49"/>
    <w:rsid w:val="00180660"/>
    <w:rsid w:val="001B0B40"/>
    <w:rsid w:val="001B4DD3"/>
    <w:rsid w:val="001C5401"/>
    <w:rsid w:val="001F6650"/>
    <w:rsid w:val="0020773D"/>
    <w:rsid w:val="0022782C"/>
    <w:rsid w:val="0023610A"/>
    <w:rsid w:val="002526E8"/>
    <w:rsid w:val="00253C74"/>
    <w:rsid w:val="00296854"/>
    <w:rsid w:val="002D10F6"/>
    <w:rsid w:val="002D12C1"/>
    <w:rsid w:val="002E1B46"/>
    <w:rsid w:val="002E29C1"/>
    <w:rsid w:val="002E7422"/>
    <w:rsid w:val="00303BC8"/>
    <w:rsid w:val="00322AF3"/>
    <w:rsid w:val="003329B3"/>
    <w:rsid w:val="00337CBE"/>
    <w:rsid w:val="003839CB"/>
    <w:rsid w:val="003852C7"/>
    <w:rsid w:val="003869E0"/>
    <w:rsid w:val="003A7CEE"/>
    <w:rsid w:val="003C04B1"/>
    <w:rsid w:val="003E10D7"/>
    <w:rsid w:val="00425006"/>
    <w:rsid w:val="00446246"/>
    <w:rsid w:val="004539D6"/>
    <w:rsid w:val="004815E3"/>
    <w:rsid w:val="00493FE2"/>
    <w:rsid w:val="004B3715"/>
    <w:rsid w:val="004C6338"/>
    <w:rsid w:val="004C724D"/>
    <w:rsid w:val="004C79F9"/>
    <w:rsid w:val="004D4207"/>
    <w:rsid w:val="00502675"/>
    <w:rsid w:val="005225A1"/>
    <w:rsid w:val="005303A0"/>
    <w:rsid w:val="0053084E"/>
    <w:rsid w:val="00577A56"/>
    <w:rsid w:val="005813DC"/>
    <w:rsid w:val="005847A1"/>
    <w:rsid w:val="0058688F"/>
    <w:rsid w:val="005B0FF4"/>
    <w:rsid w:val="005F4BE4"/>
    <w:rsid w:val="0060529D"/>
    <w:rsid w:val="00622E89"/>
    <w:rsid w:val="006238A3"/>
    <w:rsid w:val="00642D15"/>
    <w:rsid w:val="006C7F28"/>
    <w:rsid w:val="006F4797"/>
    <w:rsid w:val="007028AF"/>
    <w:rsid w:val="007644E4"/>
    <w:rsid w:val="00772439"/>
    <w:rsid w:val="0079349A"/>
    <w:rsid w:val="007B080B"/>
    <w:rsid w:val="007C7C21"/>
    <w:rsid w:val="007D01E5"/>
    <w:rsid w:val="0082169F"/>
    <w:rsid w:val="0085794F"/>
    <w:rsid w:val="00862D77"/>
    <w:rsid w:val="0087102A"/>
    <w:rsid w:val="008848EE"/>
    <w:rsid w:val="00894E3B"/>
    <w:rsid w:val="008B75DF"/>
    <w:rsid w:val="008C656C"/>
    <w:rsid w:val="0090726A"/>
    <w:rsid w:val="00966A46"/>
    <w:rsid w:val="009809C7"/>
    <w:rsid w:val="009B10B4"/>
    <w:rsid w:val="009C38B2"/>
    <w:rsid w:val="009E1F6A"/>
    <w:rsid w:val="009E28D8"/>
    <w:rsid w:val="00A049AB"/>
    <w:rsid w:val="00A60147"/>
    <w:rsid w:val="00AA5A11"/>
    <w:rsid w:val="00AA5F24"/>
    <w:rsid w:val="00AD045B"/>
    <w:rsid w:val="00AF317F"/>
    <w:rsid w:val="00B00A62"/>
    <w:rsid w:val="00B124E0"/>
    <w:rsid w:val="00B357E8"/>
    <w:rsid w:val="00B61862"/>
    <w:rsid w:val="00B62CEC"/>
    <w:rsid w:val="00B7003D"/>
    <w:rsid w:val="00B75C52"/>
    <w:rsid w:val="00B84323"/>
    <w:rsid w:val="00B85070"/>
    <w:rsid w:val="00BC12D3"/>
    <w:rsid w:val="00BD474C"/>
    <w:rsid w:val="00BE175B"/>
    <w:rsid w:val="00C07851"/>
    <w:rsid w:val="00C21FC9"/>
    <w:rsid w:val="00C45700"/>
    <w:rsid w:val="00C45C47"/>
    <w:rsid w:val="00C6314C"/>
    <w:rsid w:val="00C9266D"/>
    <w:rsid w:val="00CA5E36"/>
    <w:rsid w:val="00CD46C3"/>
    <w:rsid w:val="00D2241A"/>
    <w:rsid w:val="00D2267D"/>
    <w:rsid w:val="00D3562F"/>
    <w:rsid w:val="00D70730"/>
    <w:rsid w:val="00D854A7"/>
    <w:rsid w:val="00DC7923"/>
    <w:rsid w:val="00DD5EEF"/>
    <w:rsid w:val="00DE5474"/>
    <w:rsid w:val="00DF3737"/>
    <w:rsid w:val="00E00550"/>
    <w:rsid w:val="00E5267E"/>
    <w:rsid w:val="00E66938"/>
    <w:rsid w:val="00E70B59"/>
    <w:rsid w:val="00E9606D"/>
    <w:rsid w:val="00EA2D8E"/>
    <w:rsid w:val="00EA4B41"/>
    <w:rsid w:val="00F33A78"/>
    <w:rsid w:val="00F4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D77"/>
    <w:pPr>
      <w:ind w:left="2160"/>
    </w:pPr>
    <w:rPr>
      <w:rFonts w:ascii="Arial" w:hAnsi="Arial" w:cs="Arial"/>
      <w:szCs w:val="22"/>
    </w:rPr>
  </w:style>
  <w:style w:type="paragraph" w:styleId="Heading3">
    <w:name w:val="heading 3"/>
    <w:basedOn w:val="Normal"/>
    <w:next w:val="Normal"/>
    <w:qFormat/>
    <w:rsid w:val="00862D77"/>
    <w:pPr>
      <w:keepNext/>
      <w:tabs>
        <w:tab w:val="left" w:pos="720"/>
      </w:tabs>
      <w:spacing w:before="240" w:after="60"/>
      <w:ind w:left="7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PSTableofContentsTitle">
    <w:name w:val="EBPS Table of Contents Title"/>
    <w:basedOn w:val="Normal"/>
    <w:autoRedefine/>
    <w:rsid w:val="00862D77"/>
    <w:pPr>
      <w:pageBreakBefore/>
      <w:numPr>
        <w:numId w:val="1"/>
      </w:numPr>
      <w:pBdr>
        <w:top w:val="single" w:sz="18" w:space="1" w:color="800000"/>
      </w:pBdr>
      <w:spacing w:after="240"/>
    </w:pPr>
    <w:rPr>
      <w:rFonts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D77"/>
    <w:pPr>
      <w:ind w:left="2160"/>
    </w:pPr>
    <w:rPr>
      <w:rFonts w:ascii="Arial" w:hAnsi="Arial" w:cs="Arial"/>
      <w:szCs w:val="22"/>
    </w:rPr>
  </w:style>
  <w:style w:type="paragraph" w:styleId="Heading3">
    <w:name w:val="heading 3"/>
    <w:basedOn w:val="Normal"/>
    <w:next w:val="Normal"/>
    <w:qFormat/>
    <w:rsid w:val="00862D77"/>
    <w:pPr>
      <w:keepNext/>
      <w:tabs>
        <w:tab w:val="left" w:pos="720"/>
      </w:tabs>
      <w:spacing w:before="240" w:after="60"/>
      <w:ind w:left="7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PSTableofContentsTitle">
    <w:name w:val="EBPS Table of Contents Title"/>
    <w:basedOn w:val="Normal"/>
    <w:autoRedefine/>
    <w:rsid w:val="00862D77"/>
    <w:pPr>
      <w:pageBreakBefore/>
      <w:numPr>
        <w:numId w:val="1"/>
      </w:numPr>
      <w:pBdr>
        <w:top w:val="single" w:sz="18" w:space="1" w:color="800000"/>
      </w:pBdr>
      <w:spacing w:after="240"/>
    </w:pPr>
    <w:rPr>
      <w:rFonts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Deena Demo Talking points:</vt:lpstr>
    </vt:vector>
  </TitlesOfParts>
  <Company>Harvard University</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Deena Demo Talking points:</dc:title>
  <dc:creator>Jason Kitayama</dc:creator>
  <cp:lastModifiedBy>FASDSM</cp:lastModifiedBy>
  <cp:revision>2</cp:revision>
  <cp:lastPrinted>2010-01-08T22:26:00Z</cp:lastPrinted>
  <dcterms:created xsi:type="dcterms:W3CDTF">2014-01-05T22:28:00Z</dcterms:created>
  <dcterms:modified xsi:type="dcterms:W3CDTF">2014-01-05T22:28:00Z</dcterms:modified>
</cp:coreProperties>
</file>